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4750" w:type="pct"/>
        <w:jc w:val="center"/>
        <w:tblCellSpacing w:w="0" w:type="dxa"/>
        <w:tblLayout w:type="autofit"/>
        <w:tblCellMar>
          <w:top w:w="0" w:type="dxa"/>
          <w:left w:w="0" w:type="dxa"/>
          <w:bottom w:w="0" w:type="dxa"/>
          <w:right w:w="0" w:type="dxa"/>
        </w:tblCellMar>
      </w:tblPr>
      <w:tblGrid>
        <w:gridCol w:w="8033"/>
      </w:tblGrid>
      <w:tr>
        <w:tblPrEx>
          <w:tblCellMar>
            <w:top w:w="0" w:type="dxa"/>
            <w:left w:w="0" w:type="dxa"/>
            <w:bottom w:w="0" w:type="dxa"/>
            <w:right w:w="0" w:type="dxa"/>
          </w:tblCellMar>
        </w:tblPrEx>
        <w:trPr>
          <w:tblCellSpacing w:w="0" w:type="dxa"/>
          <w:jc w:val="center"/>
        </w:trPr>
        <w:tc>
          <w:tcPr>
            <w:tcW w:w="0" w:type="auto"/>
            <w:tcMar>
              <w:top w:w="75" w:type="dxa"/>
              <w:left w:w="75" w:type="dxa"/>
              <w:bottom w:w="75" w:type="dxa"/>
              <w:right w:w="75" w:type="dxa"/>
            </w:tcMar>
            <w:vAlign w:val="center"/>
          </w:tcPr>
          <w:p>
            <w:pPr>
              <w:widowControl/>
              <w:spacing w:line="276" w:lineRule="auto"/>
              <w:jc w:val="center"/>
              <w:rPr>
                <w:rFonts w:cs="宋体" w:asciiTheme="minorEastAsia" w:hAnsiTheme="minorEastAsia"/>
                <w:b/>
                <w:bCs/>
                <w:color w:val="000000"/>
                <w:kern w:val="0"/>
                <w:sz w:val="24"/>
                <w:szCs w:val="24"/>
              </w:rPr>
            </w:pPr>
            <w:r>
              <w:rPr>
                <w:rFonts w:hint="eastAsia" w:cs="宋体" w:asciiTheme="minorEastAsia" w:hAnsiTheme="minorEastAsia"/>
                <w:b/>
                <w:bCs/>
                <w:color w:val="000000"/>
                <w:kern w:val="0"/>
                <w:sz w:val="24"/>
                <w:szCs w:val="24"/>
              </w:rPr>
              <w:t>关于印发《内蒙古自治区图书资料专业高(中)级专业技术资格评审条件（试行）》的通知</w:t>
            </w:r>
          </w:p>
        </w:tc>
      </w:tr>
    </w:tbl>
    <w:p>
      <w:pPr>
        <w:widowControl/>
        <w:spacing w:line="276" w:lineRule="auto"/>
        <w:jc w:val="center"/>
        <w:rPr>
          <w:rFonts w:cs="宋体" w:asciiTheme="minorEastAsia" w:hAnsiTheme="minorEastAsia"/>
          <w:vanish/>
          <w:kern w:val="0"/>
          <w:sz w:val="24"/>
          <w:szCs w:val="24"/>
        </w:rPr>
      </w:pPr>
    </w:p>
    <w:tbl>
      <w:tblPr>
        <w:tblStyle w:val="4"/>
        <w:tblW w:w="4750" w:type="pct"/>
        <w:jc w:val="center"/>
        <w:tblCellSpacing w:w="0" w:type="dxa"/>
        <w:tblLayout w:type="autofit"/>
        <w:tblCellMar>
          <w:top w:w="0" w:type="dxa"/>
          <w:left w:w="0" w:type="dxa"/>
          <w:bottom w:w="0" w:type="dxa"/>
          <w:right w:w="0" w:type="dxa"/>
        </w:tblCellMar>
      </w:tblPr>
      <w:tblGrid>
        <w:gridCol w:w="7891"/>
      </w:tblGrid>
      <w:tr>
        <w:tblPrEx>
          <w:tblCellMar>
            <w:top w:w="0" w:type="dxa"/>
            <w:left w:w="0" w:type="dxa"/>
            <w:bottom w:w="0" w:type="dxa"/>
            <w:right w:w="0" w:type="dxa"/>
          </w:tblCellMar>
        </w:tblPrEx>
        <w:trPr>
          <w:tblCellSpacing w:w="0" w:type="dxa"/>
          <w:jc w:val="center"/>
        </w:trPr>
        <w:tc>
          <w:tcPr>
            <w:tcW w:w="0" w:type="auto"/>
            <w:vAlign w:val="center"/>
          </w:tcPr>
          <w:p>
            <w:pPr>
              <w:widowControl/>
              <w:spacing w:line="276" w:lineRule="auto"/>
              <w:jc w:val="center"/>
              <w:rPr>
                <w:rFonts w:cs="宋体" w:asciiTheme="minorEastAsia" w:hAnsiTheme="minorEastAsia"/>
                <w:b/>
                <w:bCs/>
                <w:color w:val="C32600"/>
                <w:kern w:val="0"/>
                <w:sz w:val="24"/>
                <w:szCs w:val="24"/>
              </w:rPr>
            </w:pPr>
          </w:p>
        </w:tc>
      </w:tr>
    </w:tbl>
    <w:p>
      <w:pPr>
        <w:widowControl/>
        <w:spacing w:line="276" w:lineRule="auto"/>
        <w:jc w:val="center"/>
        <w:rPr>
          <w:rFonts w:cs="宋体" w:asciiTheme="minorEastAsia" w:hAnsiTheme="minorEastAsia"/>
          <w:vanish/>
          <w:kern w:val="0"/>
          <w:sz w:val="24"/>
          <w:szCs w:val="24"/>
        </w:rPr>
      </w:pPr>
    </w:p>
    <w:tbl>
      <w:tblPr>
        <w:tblStyle w:val="4"/>
        <w:tblW w:w="4750" w:type="pct"/>
        <w:jc w:val="center"/>
        <w:tblCellSpacing w:w="0" w:type="dxa"/>
        <w:tblLayout w:type="autofit"/>
        <w:tblCellMar>
          <w:top w:w="0" w:type="dxa"/>
          <w:left w:w="0" w:type="dxa"/>
          <w:bottom w:w="0" w:type="dxa"/>
          <w:right w:w="0" w:type="dxa"/>
        </w:tblCellMar>
      </w:tblPr>
      <w:tblGrid>
        <w:gridCol w:w="1089"/>
        <w:gridCol w:w="5242"/>
        <w:gridCol w:w="1560"/>
      </w:tblGrid>
      <w:tr>
        <w:tblPrEx>
          <w:tblCellMar>
            <w:top w:w="0" w:type="dxa"/>
            <w:left w:w="0" w:type="dxa"/>
            <w:bottom w:w="0" w:type="dxa"/>
            <w:right w:w="0" w:type="dxa"/>
          </w:tblCellMar>
        </w:tblPrEx>
        <w:trPr>
          <w:trHeight w:val="600" w:hRule="atLeast"/>
          <w:tblCellSpacing w:w="0" w:type="dxa"/>
          <w:jc w:val="center"/>
        </w:trPr>
        <w:tc>
          <w:tcPr>
            <w:tcW w:w="750" w:type="pct"/>
            <w:noWrap/>
            <w:vAlign w:val="center"/>
          </w:tcPr>
          <w:p>
            <w:pPr>
              <w:widowControl/>
              <w:spacing w:line="276" w:lineRule="auto"/>
              <w:jc w:val="center"/>
              <w:rPr>
                <w:rFonts w:cs="宋体" w:asciiTheme="minorEastAsia" w:hAnsiTheme="minorEastAsia"/>
                <w:color w:val="999999"/>
                <w:kern w:val="0"/>
                <w:sz w:val="24"/>
                <w:szCs w:val="24"/>
              </w:rPr>
            </w:pPr>
            <w:r>
              <w:rPr>
                <w:rFonts w:cs="宋体" w:asciiTheme="minorEastAsia" w:hAnsiTheme="minorEastAsia"/>
                <w:color w:val="999999"/>
                <w:kern w:val="0"/>
                <w:sz w:val="24"/>
                <w:szCs w:val="24"/>
              </w:rPr>
              <w:t xml:space="preserve">  </w:t>
            </w:r>
          </w:p>
        </w:tc>
        <w:tc>
          <w:tcPr>
            <w:tcW w:w="3250" w:type="pct"/>
            <w:noWrap/>
            <w:vAlign w:val="bottom"/>
          </w:tcPr>
          <w:p>
            <w:pPr>
              <w:widowControl/>
              <w:spacing w:line="276" w:lineRule="auto"/>
              <w:jc w:val="center"/>
              <w:rPr>
                <w:rFonts w:cs="宋体" w:asciiTheme="minorEastAsia" w:hAnsiTheme="minorEastAsia"/>
                <w:color w:val="666666"/>
                <w:kern w:val="0"/>
                <w:sz w:val="24"/>
                <w:szCs w:val="24"/>
              </w:rPr>
            </w:pPr>
            <w:r>
              <w:rPr>
                <w:rFonts w:cs="宋体" w:asciiTheme="minorEastAsia" w:hAnsiTheme="minorEastAsia"/>
                <w:color w:val="666666"/>
                <w:kern w:val="0"/>
                <w:sz w:val="24"/>
                <w:szCs w:val="24"/>
              </w:rPr>
              <w:t xml:space="preserve">发布日期：2016-03-16 16:21 </w:t>
            </w:r>
          </w:p>
        </w:tc>
        <w:tc>
          <w:tcPr>
            <w:tcW w:w="750" w:type="pct"/>
            <w:noWrap/>
            <w:vAlign w:val="center"/>
          </w:tcPr>
          <w:p>
            <w:pPr>
              <w:widowControl/>
              <w:spacing w:line="276" w:lineRule="auto"/>
              <w:jc w:val="center"/>
              <w:rPr>
                <w:rFonts w:cs="宋体" w:asciiTheme="minorEastAsia" w:hAnsiTheme="minorEastAsia"/>
                <w:color w:val="666666"/>
                <w:kern w:val="0"/>
                <w:sz w:val="24"/>
                <w:szCs w:val="24"/>
              </w:rPr>
            </w:pPr>
            <w:r>
              <w:rPr>
                <w:rFonts w:cs="宋体" w:asciiTheme="minorEastAsia" w:hAnsiTheme="minorEastAsia"/>
                <w:color w:val="666666"/>
                <w:kern w:val="0"/>
                <w:sz w:val="24"/>
                <w:szCs w:val="24"/>
              </w:rPr>
              <w:t xml:space="preserve">浏览次数：566 </w:t>
            </w:r>
          </w:p>
        </w:tc>
      </w:tr>
    </w:tbl>
    <w:p>
      <w:pPr>
        <w:widowControl/>
        <w:spacing w:line="276" w:lineRule="auto"/>
        <w:jc w:val="center"/>
        <w:rPr>
          <w:rFonts w:cs="宋体" w:asciiTheme="minorEastAsia" w:hAnsiTheme="minorEastAsia"/>
          <w:vanish/>
          <w:kern w:val="0"/>
          <w:sz w:val="24"/>
          <w:szCs w:val="24"/>
        </w:rPr>
      </w:pPr>
    </w:p>
    <w:tbl>
      <w:tblPr>
        <w:tblStyle w:val="4"/>
        <w:tblW w:w="4750" w:type="pct"/>
        <w:jc w:val="center"/>
        <w:tblCellSpacing w:w="0" w:type="dxa"/>
        <w:tblLayout w:type="autofit"/>
        <w:tblCellMar>
          <w:top w:w="0" w:type="dxa"/>
          <w:left w:w="0" w:type="dxa"/>
          <w:bottom w:w="0" w:type="dxa"/>
          <w:right w:w="0" w:type="dxa"/>
        </w:tblCellMar>
      </w:tblPr>
      <w:tblGrid>
        <w:gridCol w:w="7891"/>
      </w:tblGrid>
      <w:tr>
        <w:tblPrEx>
          <w:tblCellMar>
            <w:top w:w="0" w:type="dxa"/>
            <w:left w:w="0" w:type="dxa"/>
            <w:bottom w:w="0" w:type="dxa"/>
            <w:right w:w="0" w:type="dxa"/>
          </w:tblCellMar>
        </w:tblPrEx>
        <w:trPr>
          <w:tblCellSpacing w:w="0" w:type="dxa"/>
          <w:jc w:val="center"/>
        </w:trPr>
        <w:tc>
          <w:tcPr>
            <w:tcW w:w="0" w:type="auto"/>
            <w:tcMar>
              <w:top w:w="300" w:type="dxa"/>
              <w:left w:w="0" w:type="dxa"/>
              <w:bottom w:w="300" w:type="dxa"/>
              <w:right w:w="0" w:type="dxa"/>
            </w:tcMar>
            <w:vAlign w:val="center"/>
          </w:tcPr>
          <w:p>
            <w:pPr>
              <w:widowControl/>
              <w:spacing w:line="276" w:lineRule="auto"/>
              <w:jc w:val="center"/>
              <w:rPr>
                <w:rFonts w:cs="宋体" w:asciiTheme="minorEastAsia" w:hAnsiTheme="minorEastAsia"/>
                <w:color w:val="000000"/>
                <w:kern w:val="0"/>
                <w:sz w:val="24"/>
                <w:szCs w:val="24"/>
              </w:rPr>
            </w:pPr>
            <w:r>
              <w:rPr>
                <w:rFonts w:cs="宋体" w:asciiTheme="minorEastAsia" w:hAnsiTheme="minorEastAsia"/>
                <w:b/>
                <w:bCs/>
                <w:color w:val="000000"/>
                <w:kern w:val="0"/>
                <w:sz w:val="24"/>
                <w:szCs w:val="24"/>
              </w:rPr>
              <w:t>内人社发〔2015〕123号</w:t>
            </w:r>
            <w:r>
              <w:rPr>
                <w:rFonts w:cs="宋体" w:asciiTheme="minorEastAsia" w:hAnsiTheme="minorEastAsia"/>
                <w:color w:val="000000"/>
                <w:kern w:val="0"/>
                <w:sz w:val="24"/>
                <w:szCs w:val="24"/>
              </w:rPr>
              <w:t xml:space="preserve"> </w:t>
            </w:r>
          </w:p>
        </w:tc>
      </w:tr>
    </w:tbl>
    <w:p>
      <w:pPr>
        <w:widowControl/>
        <w:spacing w:line="276" w:lineRule="auto"/>
        <w:jc w:val="center"/>
        <w:rPr>
          <w:rFonts w:cs="宋体" w:asciiTheme="minorEastAsia" w:hAnsiTheme="minorEastAsia"/>
          <w:vanish/>
          <w:kern w:val="0"/>
          <w:sz w:val="24"/>
          <w:szCs w:val="24"/>
        </w:rPr>
      </w:pPr>
    </w:p>
    <w:tbl>
      <w:tblPr>
        <w:tblStyle w:val="4"/>
        <w:tblW w:w="4750" w:type="pct"/>
        <w:jc w:val="center"/>
        <w:tblCellSpacing w:w="0" w:type="dxa"/>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rPr>
          <w:tblCellSpacing w:w="0" w:type="dxa"/>
          <w:jc w:val="center"/>
        </w:trPr>
        <w:tc>
          <w:tcPr>
            <w:tcW w:w="0" w:type="auto"/>
            <w:vAlign w:val="center"/>
          </w:tcPr>
          <w:p>
            <w:pPr>
              <w:widowControl/>
              <w:spacing w:line="276" w:lineRule="auto"/>
              <w:jc w:val="center"/>
              <w:rPr>
                <w:rFonts w:cs="宋体" w:asciiTheme="minorEastAsia" w:hAnsiTheme="minorEastAsia"/>
                <w:color w:val="auto"/>
                <w:kern w:val="0"/>
                <w:sz w:val="24"/>
                <w:szCs w:val="24"/>
              </w:rPr>
            </w:pPr>
          </w:p>
          <w:p>
            <w:pPr>
              <w:widowControl/>
              <w:spacing w:line="276" w:lineRule="auto"/>
              <w:jc w:val="center"/>
              <w:rPr>
                <w:rFonts w:cs="宋体" w:asciiTheme="minorEastAsia" w:hAnsiTheme="minorEastAsia"/>
                <w:color w:val="auto"/>
                <w:kern w:val="0"/>
                <w:sz w:val="24"/>
                <w:szCs w:val="24"/>
              </w:rPr>
            </w:pPr>
            <w:r>
              <w:rPr>
                <w:rFonts w:cs="宋体" w:asciiTheme="minorEastAsia" w:hAnsiTheme="minorEastAsia"/>
                <w:color w:val="auto"/>
                <w:kern w:val="0"/>
                <w:sz w:val="24"/>
                <w:szCs w:val="24"/>
              </w:rPr>
              <w:t> </w:t>
            </w:r>
          </w:p>
          <w:p>
            <w:pPr>
              <w:widowControl/>
              <w:spacing w:line="276" w:lineRule="auto"/>
              <w:ind w:firstLine="240" w:firstLineChars="100"/>
              <w:jc w:val="center"/>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w:t>
            </w:r>
            <w:r>
              <w:rPr>
                <w:rFonts w:cs="Times New Roman" w:asciiTheme="minorEastAsia" w:hAnsiTheme="minorEastAsia"/>
                <w:color w:val="auto"/>
                <w:kern w:val="0"/>
                <w:sz w:val="24"/>
                <w:szCs w:val="24"/>
              </w:rPr>
              <w:t> </w:t>
            </w:r>
          </w:p>
          <w:p>
            <w:pPr>
              <w:widowControl/>
              <w:spacing w:line="276" w:lineRule="auto"/>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各盟市人力资源和社会保障局，自治区各委、办、厅、局人事部门，自治区直属各企事业单位人事部门，各人民团体，中央驻呼有关单位：</w:t>
            </w:r>
          </w:p>
          <w:p>
            <w:pPr>
              <w:widowControl/>
              <w:spacing w:line="276" w:lineRule="auto"/>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    现将新修订的《内蒙古自治区图书资料专业高（中）级专业技术资格评审条件（试行）》印发给你们，请遵照执行。在试行过程中，如有问题可及时向内蒙古自治区人力资源和社会保障厅反映，以便进一步补充完善。</w:t>
            </w:r>
          </w:p>
          <w:p>
            <w:pPr>
              <w:widowControl/>
              <w:spacing w:line="276" w:lineRule="auto"/>
              <w:jc w:val="left"/>
              <w:rPr>
                <w:rFonts w:cs="宋体" w:asciiTheme="minorEastAsia" w:hAnsiTheme="minorEastAsia"/>
                <w:color w:val="auto"/>
                <w:kern w:val="0"/>
                <w:sz w:val="24"/>
                <w:szCs w:val="24"/>
              </w:rPr>
            </w:pPr>
            <w:r>
              <w:rPr>
                <w:rFonts w:cs="Times New Roman" w:asciiTheme="minorEastAsia" w:hAnsiTheme="minorEastAsia"/>
                <w:color w:val="auto"/>
                <w:kern w:val="0"/>
                <w:sz w:val="24"/>
                <w:szCs w:val="24"/>
              </w:rPr>
              <w:t> </w:t>
            </w:r>
          </w:p>
          <w:p>
            <w:pPr>
              <w:widowControl/>
              <w:spacing w:line="276" w:lineRule="auto"/>
              <w:jc w:val="left"/>
              <w:rPr>
                <w:rFonts w:cs="宋体" w:asciiTheme="minorEastAsia" w:hAnsiTheme="minorEastAsia"/>
                <w:color w:val="auto"/>
                <w:kern w:val="0"/>
                <w:sz w:val="24"/>
                <w:szCs w:val="24"/>
              </w:rPr>
            </w:pPr>
            <w:r>
              <w:rPr>
                <w:rFonts w:cs="Times New Roman" w:asciiTheme="minorEastAsia" w:hAnsiTheme="minorEastAsia"/>
                <w:color w:val="auto"/>
                <w:kern w:val="0"/>
                <w:sz w:val="24"/>
                <w:szCs w:val="24"/>
              </w:rPr>
              <w:t> </w:t>
            </w:r>
          </w:p>
          <w:p>
            <w:pPr>
              <w:widowControl/>
              <w:spacing w:line="276" w:lineRule="auto"/>
              <w:jc w:val="right"/>
              <w:rPr>
                <w:rFonts w:cs="宋体" w:asciiTheme="minorEastAsia" w:hAnsiTheme="minorEastAsia"/>
                <w:color w:val="auto"/>
                <w:kern w:val="0"/>
                <w:sz w:val="24"/>
                <w:szCs w:val="24"/>
              </w:rPr>
            </w:pPr>
            <w:r>
              <w:rPr>
                <w:rFonts w:cs="Times New Roman" w:asciiTheme="minorEastAsia" w:hAnsiTheme="minorEastAsia"/>
                <w:color w:val="auto"/>
                <w:kern w:val="0"/>
                <w:sz w:val="24"/>
                <w:szCs w:val="24"/>
              </w:rPr>
              <w:t xml:space="preserve">                                                                                                                                                                                      </w:t>
            </w:r>
            <w:r>
              <w:rPr>
                <w:rFonts w:hint="eastAsia" w:cs="Times New Roman" w:asciiTheme="minorEastAsia" w:hAnsiTheme="minorEastAsia"/>
                <w:color w:val="auto"/>
                <w:kern w:val="0"/>
                <w:sz w:val="24"/>
                <w:szCs w:val="24"/>
              </w:rPr>
              <w:t>2015年12月29日</w:t>
            </w:r>
          </w:p>
          <w:p>
            <w:pPr>
              <w:widowControl/>
              <w:spacing w:line="276" w:lineRule="auto"/>
              <w:jc w:val="center"/>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w:t>
            </w:r>
          </w:p>
          <w:p>
            <w:pPr>
              <w:widowControl/>
              <w:spacing w:line="276" w:lineRule="auto"/>
              <w:jc w:val="center"/>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w:t>
            </w:r>
          </w:p>
          <w:p>
            <w:pPr>
              <w:widowControl/>
              <w:spacing w:line="276" w:lineRule="auto"/>
              <w:jc w:val="center"/>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w:t>
            </w: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Times New Roman" w:asciiTheme="minorEastAsia" w:hAnsiTheme="minorEastAsia"/>
                <w:color w:val="auto"/>
                <w:kern w:val="0"/>
                <w:sz w:val="24"/>
                <w:szCs w:val="24"/>
              </w:rPr>
            </w:pPr>
          </w:p>
          <w:p>
            <w:pPr>
              <w:widowControl/>
              <w:spacing w:line="276" w:lineRule="auto"/>
              <w:jc w:val="center"/>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内蒙古自治区图书资料专业</w:t>
            </w:r>
          </w:p>
          <w:p>
            <w:pPr>
              <w:widowControl/>
              <w:spacing w:line="276" w:lineRule="auto"/>
              <w:jc w:val="center"/>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高（中）级专业技术资格评审条件</w:t>
            </w:r>
          </w:p>
          <w:p>
            <w:pPr>
              <w:widowControl/>
              <w:spacing w:line="276" w:lineRule="auto"/>
              <w:jc w:val="center"/>
              <w:rPr>
                <w:rFonts w:cs="宋体" w:asciiTheme="minorEastAsia" w:hAnsiTheme="minorEastAsia"/>
                <w:color w:val="auto"/>
                <w:kern w:val="0"/>
                <w:sz w:val="24"/>
                <w:szCs w:val="24"/>
              </w:rPr>
            </w:pPr>
            <w:r>
              <w:rPr>
                <w:rFonts w:hint="eastAsia" w:cs="宋体" w:asciiTheme="minorEastAsia" w:hAnsiTheme="minorEastAsia"/>
                <w:b/>
                <w:color w:val="auto"/>
                <w:kern w:val="0"/>
                <w:sz w:val="24"/>
                <w:szCs w:val="24"/>
              </w:rPr>
              <w:t> </w:t>
            </w:r>
          </w:p>
          <w:p>
            <w:pPr>
              <w:widowControl/>
              <w:spacing w:line="276" w:lineRule="auto"/>
              <w:jc w:val="center"/>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（试行）</w:t>
            </w:r>
          </w:p>
          <w:p>
            <w:pPr>
              <w:widowControl/>
              <w:spacing w:line="276" w:lineRule="auto"/>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 </w:t>
            </w:r>
          </w:p>
          <w:p>
            <w:pPr>
              <w:widowControl/>
              <w:spacing w:line="276" w:lineRule="auto"/>
              <w:ind w:left="1320" w:hanging="1320"/>
              <w:jc w:val="center"/>
              <w:rPr>
                <w:rFonts w:cs="宋体" w:asciiTheme="minorEastAsia" w:hAnsiTheme="minorEastAsia"/>
                <w:color w:val="auto"/>
                <w:kern w:val="0"/>
                <w:sz w:val="24"/>
                <w:szCs w:val="24"/>
              </w:rPr>
            </w:pPr>
            <w:r>
              <w:rPr>
                <w:rFonts w:hint="eastAsia" w:cs="黑体" w:asciiTheme="minorEastAsia" w:hAnsiTheme="minorEastAsia"/>
                <w:color w:val="auto"/>
                <w:kern w:val="0"/>
                <w:sz w:val="24"/>
                <w:szCs w:val="24"/>
              </w:rPr>
              <w:t xml:space="preserve">第一章     </w:t>
            </w:r>
            <w:r>
              <w:rPr>
                <w:rFonts w:hint="eastAsia" w:cs="宋体" w:asciiTheme="minorEastAsia" w:hAnsiTheme="minorEastAsia"/>
                <w:color w:val="auto"/>
                <w:kern w:val="0"/>
                <w:sz w:val="24"/>
                <w:szCs w:val="24"/>
              </w:rPr>
              <w:t>总  则</w:t>
            </w:r>
          </w:p>
          <w:p>
            <w:pPr>
              <w:widowControl/>
              <w:spacing w:line="276" w:lineRule="auto"/>
              <w:ind w:left="132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第一条</w:t>
            </w:r>
            <w:r>
              <w:rPr>
                <w:rFonts w:hint="eastAsia" w:cs="Times New Roman" w:asciiTheme="minorEastAsia" w:hAnsiTheme="minorEastAsia"/>
                <w:b/>
                <w:color w:val="auto"/>
                <w:kern w:val="0"/>
                <w:sz w:val="24"/>
                <w:szCs w:val="24"/>
              </w:rPr>
              <w:t xml:space="preserve"> </w:t>
            </w:r>
            <w:r>
              <w:rPr>
                <w:rFonts w:hint="eastAsia" w:cs="Times New Roman" w:asciiTheme="minorEastAsia" w:hAnsiTheme="minorEastAsia"/>
                <w:color w:val="auto"/>
                <w:kern w:val="0"/>
                <w:sz w:val="24"/>
                <w:szCs w:val="24"/>
              </w:rPr>
              <w:t>为了科学准确地评价图书资料专业技术人员的能力水平，促进优秀人才脱颖而出，根据国家《图书资料专业职务试行条例》，结合自治区图书资料专业技术人才队伍建设实际，制定本评审条件。</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 xml:space="preserve">第二条 </w:t>
            </w:r>
            <w:r>
              <w:rPr>
                <w:rFonts w:hint="eastAsia" w:cs="Times New Roman" w:asciiTheme="minorEastAsia" w:hAnsiTheme="minorEastAsia"/>
                <w:color w:val="auto"/>
                <w:kern w:val="0"/>
                <w:sz w:val="24"/>
                <w:szCs w:val="24"/>
              </w:rPr>
              <w:t xml:space="preserve">本评审条件适用于在自治区各类企事业单位中从事图书资料工作的专业技术人员。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 xml:space="preserve">第三条 </w:t>
            </w:r>
            <w:r>
              <w:rPr>
                <w:rFonts w:hint="eastAsia" w:cs="Times New Roman" w:asciiTheme="minorEastAsia" w:hAnsiTheme="minorEastAsia"/>
                <w:color w:val="auto"/>
                <w:kern w:val="0"/>
                <w:sz w:val="24"/>
                <w:szCs w:val="24"/>
              </w:rPr>
              <w:t>图书资料专业高（中）级专业技术资格名称为：研究馆员、副研究馆员、馆员。其中研究馆员为正高级、副研究馆员为副高级、馆员为中级。</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第四条</w:t>
            </w:r>
            <w:r>
              <w:rPr>
                <w:rFonts w:hint="eastAsia" w:cs="Times New Roman" w:asciiTheme="minorEastAsia" w:hAnsiTheme="minorEastAsia"/>
                <w:b/>
                <w:color w:val="auto"/>
                <w:kern w:val="0"/>
                <w:sz w:val="24"/>
                <w:szCs w:val="24"/>
              </w:rPr>
              <w:t xml:space="preserve"> </w:t>
            </w:r>
            <w:r>
              <w:rPr>
                <w:rFonts w:hint="eastAsia" w:cs="Times New Roman" w:asciiTheme="minorEastAsia" w:hAnsiTheme="minorEastAsia"/>
                <w:color w:val="auto"/>
                <w:kern w:val="0"/>
                <w:sz w:val="24"/>
                <w:szCs w:val="24"/>
              </w:rPr>
              <w:t>图书资料专业</w:t>
            </w:r>
            <w:r>
              <w:rPr>
                <w:rFonts w:hint="eastAsia" w:cs="Arial" w:asciiTheme="minorEastAsia" w:hAnsiTheme="minorEastAsia"/>
                <w:color w:val="auto"/>
                <w:kern w:val="0"/>
                <w:sz w:val="24"/>
                <w:szCs w:val="24"/>
              </w:rPr>
              <w:t>高（中）级专业技术资格，通过专家评审委员会评审，由自治区人力资源和社会保障厅核准（备案）后方可取得。</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 </w:t>
            </w:r>
          </w:p>
          <w:p>
            <w:pPr>
              <w:widowControl/>
              <w:spacing w:line="276" w:lineRule="auto"/>
              <w:ind w:left="1320" w:hanging="1320"/>
              <w:jc w:val="center"/>
              <w:rPr>
                <w:rFonts w:cs="宋体" w:asciiTheme="minorEastAsia" w:hAnsiTheme="minorEastAsia"/>
                <w:color w:val="auto"/>
                <w:kern w:val="0"/>
                <w:sz w:val="24"/>
                <w:szCs w:val="24"/>
              </w:rPr>
            </w:pPr>
            <w:r>
              <w:rPr>
                <w:rFonts w:hint="eastAsia" w:cs="黑体" w:asciiTheme="minorEastAsia" w:hAnsiTheme="minorEastAsia"/>
                <w:color w:val="auto"/>
                <w:kern w:val="0"/>
                <w:sz w:val="24"/>
                <w:szCs w:val="24"/>
              </w:rPr>
              <w:t xml:space="preserve">第二章     </w:t>
            </w:r>
            <w:r>
              <w:rPr>
                <w:rFonts w:hint="eastAsia" w:cs="宋体" w:asciiTheme="minorEastAsia" w:hAnsiTheme="minorEastAsia"/>
                <w:color w:val="auto"/>
                <w:kern w:val="0"/>
                <w:sz w:val="24"/>
                <w:szCs w:val="24"/>
              </w:rPr>
              <w:t>申报条件</w:t>
            </w:r>
          </w:p>
          <w:p>
            <w:pPr>
              <w:widowControl/>
              <w:spacing w:line="276" w:lineRule="auto"/>
              <w:ind w:left="132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第五条</w:t>
            </w:r>
            <w:r>
              <w:rPr>
                <w:rFonts w:hint="eastAsia" w:cs="Times New Roman" w:asciiTheme="minorEastAsia" w:hAnsiTheme="minorEastAsia"/>
                <w:color w:val="auto"/>
                <w:kern w:val="0"/>
                <w:sz w:val="24"/>
                <w:szCs w:val="24"/>
              </w:rPr>
              <w:t xml:space="preserve"> 申报人须热爱祖国，拥护中国共产党的领导，遵纪守法，爱岗敬业，具有良好的职业道德。</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第六条</w:t>
            </w:r>
            <w:r>
              <w:rPr>
                <w:rFonts w:hint="eastAsia" w:cs="Times New Roman" w:asciiTheme="minorEastAsia" w:hAnsiTheme="minorEastAsia"/>
                <w:color w:val="auto"/>
                <w:kern w:val="0"/>
                <w:sz w:val="24"/>
                <w:szCs w:val="24"/>
              </w:rPr>
              <w:t xml:space="preserve"> 申报研究馆员资格，须由所在单位聘用在副高级专业技术岗位上；申报</w:t>
            </w:r>
            <w:r>
              <w:rPr>
                <w:rFonts w:hint="eastAsia" w:cs="宋体" w:asciiTheme="minorEastAsia" w:hAnsiTheme="minorEastAsia"/>
                <w:color w:val="auto"/>
                <w:kern w:val="0"/>
                <w:sz w:val="24"/>
                <w:szCs w:val="24"/>
              </w:rPr>
              <w:t>副</w:t>
            </w:r>
            <w:r>
              <w:rPr>
                <w:rFonts w:hint="eastAsia" w:cs="Times New Roman" w:asciiTheme="minorEastAsia" w:hAnsiTheme="minorEastAsia"/>
                <w:color w:val="auto"/>
                <w:kern w:val="0"/>
                <w:sz w:val="24"/>
                <w:szCs w:val="24"/>
              </w:rPr>
              <w:t>研究馆员资格，须由所在单位聘用在中级专业技术岗位上；申报馆员资格，须由所在单位聘用在初级专业技术岗位上，且任现职期间各年度考核结果达到合格以上。</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第七条</w:t>
            </w:r>
            <w:r>
              <w:rPr>
                <w:rFonts w:hint="eastAsia" w:cs="Times New Roman" w:asciiTheme="minorEastAsia" w:hAnsiTheme="minorEastAsia"/>
                <w:color w:val="auto"/>
                <w:kern w:val="0"/>
                <w:sz w:val="24"/>
                <w:szCs w:val="24"/>
              </w:rPr>
              <w:t xml:space="preserve"> 学历（学位）、资历条件   </w:t>
            </w:r>
          </w:p>
          <w:p>
            <w:pPr>
              <w:widowControl/>
              <w:spacing w:line="276" w:lineRule="auto"/>
              <w:ind w:firstLine="480" w:firstLineChars="200"/>
              <w:jc w:val="left"/>
              <w:outlineLvl w:val="0"/>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（一）申报研究馆员资格须具备下列条件之一：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1．具有博士学位，连续从事相关专业工作满5年，取得副研究馆员资格满2年；</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2．具有硕士学位，连续从事相关专业工作满10年，取得副研究馆员资格满4年；</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3．具有大学本科学历，连续从事相关专业工作满15年，取得副研究馆员资格满5年。</w:t>
            </w:r>
          </w:p>
          <w:p>
            <w:pPr>
              <w:widowControl/>
              <w:spacing w:line="276" w:lineRule="auto"/>
              <w:ind w:firstLine="480" w:firstLineChars="200"/>
              <w:jc w:val="left"/>
              <w:outlineLvl w:val="0"/>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（二）申报副研究馆员资格须具备下列条件之一：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1．具有博士学位，取得馆员资格满2年；</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2．具有硕士学位，取得馆员资格满4年；</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3．具有大学本科学历，取得馆员资格满5年；</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4．</w:t>
            </w:r>
            <w:r>
              <w:rPr>
                <w:rFonts w:hint="eastAsia" w:cs="仿宋" w:asciiTheme="minorEastAsia" w:hAnsiTheme="minorEastAsia"/>
                <w:color w:val="auto"/>
                <w:kern w:val="0"/>
                <w:sz w:val="24"/>
                <w:szCs w:val="24"/>
              </w:rPr>
              <w:t>具有大学专科学历，在普通高等院校修完本专业大学本科主要课程，并获得结业证书，</w:t>
            </w:r>
            <w:r>
              <w:rPr>
                <w:rFonts w:hint="eastAsia" w:cs="Times New Roman" w:asciiTheme="minorEastAsia" w:hAnsiTheme="minorEastAsia"/>
                <w:color w:val="auto"/>
                <w:kern w:val="0"/>
                <w:sz w:val="24"/>
                <w:szCs w:val="24"/>
              </w:rPr>
              <w:t>取得馆员资格满7年。</w:t>
            </w:r>
          </w:p>
          <w:p>
            <w:pPr>
              <w:widowControl/>
              <w:spacing w:line="276" w:lineRule="auto"/>
              <w:ind w:firstLine="480" w:firstLineChars="200"/>
              <w:jc w:val="left"/>
              <w:outlineLvl w:val="0"/>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（三）申报馆员资格者须具备下列条件之一：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1．具有硕士学位，从事本专业工作满2年；</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2．具有大学本科或大学专科学历，取得助理馆员资格满4年。</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第八条</w:t>
            </w:r>
            <w:r>
              <w:rPr>
                <w:rFonts w:hint="eastAsia" w:cs="Times New Roman" w:asciiTheme="minorEastAsia" w:hAnsiTheme="minorEastAsia"/>
                <w:color w:val="auto"/>
                <w:kern w:val="0"/>
                <w:sz w:val="24"/>
                <w:szCs w:val="24"/>
              </w:rPr>
              <w:t xml:space="preserve"> 职称外语、计算机应用能力考试和继续教育条件应达到自治区统一规定。</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第九条</w:t>
            </w:r>
            <w:r>
              <w:rPr>
                <w:rFonts w:hint="eastAsia" w:cs="Times New Roman" w:asciiTheme="minorEastAsia" w:hAnsiTheme="minorEastAsia"/>
                <w:color w:val="auto"/>
                <w:kern w:val="0"/>
                <w:sz w:val="24"/>
                <w:szCs w:val="24"/>
              </w:rPr>
              <w:t xml:space="preserve"> 破格申报条件执行自治区职称改革工作有关文件规定。</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w:t>
            </w:r>
          </w:p>
          <w:p>
            <w:pPr>
              <w:widowControl/>
              <w:spacing w:line="276" w:lineRule="auto"/>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第三章　</w:t>
            </w:r>
            <w:r>
              <w:rPr>
                <w:rFonts w:cs="宋体" w:asciiTheme="minorEastAsia" w:hAnsiTheme="minorEastAsia"/>
                <w:color w:val="auto"/>
                <w:kern w:val="0"/>
                <w:sz w:val="24"/>
                <w:szCs w:val="24"/>
              </w:rPr>
              <w:t>能力业绩条件</w:t>
            </w:r>
          </w:p>
          <w:p>
            <w:pPr>
              <w:widowControl/>
              <w:spacing w:line="276" w:lineRule="auto"/>
              <w:ind w:firstLine="482" w:firstLineChars="200"/>
              <w:jc w:val="left"/>
              <w:rPr>
                <w:rFonts w:cs="宋体" w:asciiTheme="minorEastAsia" w:hAnsiTheme="minorEastAsia"/>
                <w:color w:val="auto"/>
                <w:kern w:val="0"/>
                <w:sz w:val="24"/>
                <w:szCs w:val="24"/>
              </w:rPr>
            </w:pPr>
            <w:r>
              <w:rPr>
                <w:rFonts w:hint="eastAsia" w:cs="Times New Roman" w:asciiTheme="minorEastAsia" w:hAnsiTheme="minorEastAsia"/>
                <w:b/>
                <w:color w:val="auto"/>
                <w:kern w:val="0"/>
                <w:sz w:val="24"/>
                <w:szCs w:val="24"/>
              </w:rPr>
              <w:t>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第十条</w:t>
            </w:r>
            <w:r>
              <w:rPr>
                <w:rFonts w:hint="eastAsia" w:cs="Times New Roman" w:asciiTheme="minorEastAsia" w:hAnsiTheme="minorEastAsia"/>
                <w:b/>
                <w:color w:val="auto"/>
                <w:kern w:val="0"/>
                <w:sz w:val="24"/>
                <w:szCs w:val="24"/>
              </w:rPr>
              <w:t xml:space="preserve"> </w:t>
            </w:r>
            <w:r>
              <w:rPr>
                <w:rFonts w:hint="eastAsia" w:cs="Times New Roman" w:asciiTheme="minorEastAsia" w:hAnsiTheme="minorEastAsia"/>
                <w:color w:val="auto"/>
                <w:kern w:val="0"/>
                <w:sz w:val="24"/>
                <w:szCs w:val="24"/>
              </w:rPr>
              <w:t xml:space="preserve"> 研究馆员资格条件</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（一）专业理论水平</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具有广博的科学文化知识，对图书情报、网络信息研究有较深的造诣，</w:t>
            </w:r>
            <w:r>
              <w:rPr>
                <w:rFonts w:hint="eastAsia" w:cs="宋体" w:asciiTheme="minorEastAsia" w:hAnsiTheme="minorEastAsia"/>
                <w:bCs/>
                <w:color w:val="auto"/>
                <w:kern w:val="0"/>
                <w:sz w:val="24"/>
                <w:szCs w:val="24"/>
              </w:rPr>
              <w:t>能运用新技术传播和开发文献信息，</w:t>
            </w:r>
            <w:r>
              <w:rPr>
                <w:rFonts w:hint="eastAsia" w:cs="Times New Roman" w:asciiTheme="minorEastAsia" w:hAnsiTheme="minorEastAsia"/>
                <w:color w:val="auto"/>
                <w:kern w:val="0"/>
                <w:sz w:val="24"/>
                <w:szCs w:val="24"/>
              </w:rPr>
              <w:t>在某一领域有较系统的研究和突出的成果，是本地区本行业学术技术带头人。</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（二）工作能力</w:t>
            </w:r>
          </w:p>
          <w:p>
            <w:pPr>
              <w:widowControl/>
              <w:spacing w:line="276" w:lineRule="auto"/>
              <w:ind w:firstLine="480" w:firstLineChars="200"/>
              <w:jc w:val="left"/>
              <w:outlineLvl w:val="0"/>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申报人须具备下列条件之四条，其中1、2、3条为必备条件：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1．工作经验丰富，在自治区图书馆界有较高威望；</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2．承担过本专业省部级科研项目；</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3．能够指导、主持图书馆或图书情报资料机构专业人员进行业务、学术研究，解决业务工作中的重大疑难问题；</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4．须担任</w:t>
            </w:r>
            <w:r>
              <w:rPr>
                <w:rFonts w:hint="eastAsia" w:cs="宋体" w:asciiTheme="minorEastAsia" w:hAnsiTheme="minorEastAsia"/>
                <w:bCs/>
                <w:color w:val="auto"/>
                <w:kern w:val="0"/>
                <w:sz w:val="24"/>
                <w:szCs w:val="24"/>
              </w:rPr>
              <w:t>中外文</w:t>
            </w:r>
            <w:r>
              <w:rPr>
                <w:rFonts w:hint="eastAsia" w:cs="Times New Roman" w:asciiTheme="minorEastAsia" w:hAnsiTheme="minorEastAsia"/>
                <w:color w:val="auto"/>
                <w:kern w:val="0"/>
                <w:sz w:val="24"/>
                <w:szCs w:val="24"/>
              </w:rPr>
              <w:t>书刊采访、分编、</w:t>
            </w:r>
            <w:r>
              <w:rPr>
                <w:rFonts w:hint="eastAsia" w:cs="宋体" w:asciiTheme="minorEastAsia" w:hAnsiTheme="minorEastAsia"/>
                <w:bCs/>
                <w:color w:val="auto"/>
                <w:kern w:val="0"/>
                <w:sz w:val="24"/>
                <w:szCs w:val="24"/>
              </w:rPr>
              <w:t>借阅、参考咨询、</w:t>
            </w:r>
            <w:r>
              <w:rPr>
                <w:rFonts w:hint="eastAsia" w:cs="Times New Roman" w:asciiTheme="minorEastAsia" w:hAnsiTheme="minorEastAsia"/>
                <w:color w:val="auto"/>
                <w:kern w:val="0"/>
                <w:sz w:val="24"/>
                <w:szCs w:val="24"/>
              </w:rPr>
              <w:t>文献加工、文献研究、</w:t>
            </w:r>
            <w:r>
              <w:rPr>
                <w:rFonts w:hint="eastAsia" w:cs="宋体" w:asciiTheme="minorEastAsia" w:hAnsiTheme="minorEastAsia"/>
                <w:bCs/>
                <w:color w:val="auto"/>
                <w:kern w:val="0"/>
                <w:sz w:val="24"/>
                <w:szCs w:val="24"/>
              </w:rPr>
              <w:t>图书馆学研究与辅导、</w:t>
            </w:r>
            <w:r>
              <w:rPr>
                <w:rFonts w:hint="eastAsia" w:cs="Times New Roman" w:asciiTheme="minorEastAsia" w:hAnsiTheme="minorEastAsia"/>
                <w:color w:val="auto"/>
                <w:kern w:val="0"/>
                <w:sz w:val="24"/>
                <w:szCs w:val="24"/>
              </w:rPr>
              <w:t>编制书目索引、</w:t>
            </w:r>
            <w:r>
              <w:rPr>
                <w:rFonts w:hint="eastAsia" w:cs="宋体" w:asciiTheme="minorEastAsia" w:hAnsiTheme="minorEastAsia"/>
                <w:bCs/>
                <w:color w:val="auto"/>
                <w:kern w:val="0"/>
                <w:sz w:val="24"/>
                <w:szCs w:val="24"/>
              </w:rPr>
              <w:t>组织策划重大文化活动（讲座、展览等）、技术开发与服务，</w:t>
            </w:r>
            <w:r>
              <w:rPr>
                <w:rFonts w:hint="eastAsia" w:cs="Times New Roman" w:asciiTheme="minorEastAsia" w:hAnsiTheme="minorEastAsia"/>
                <w:color w:val="auto"/>
                <w:kern w:val="0"/>
                <w:sz w:val="24"/>
                <w:szCs w:val="24"/>
              </w:rPr>
              <w:t>以及</w:t>
            </w:r>
            <w:r>
              <w:rPr>
                <w:rFonts w:hint="eastAsia" w:cs="宋体" w:asciiTheme="minorEastAsia" w:hAnsiTheme="minorEastAsia"/>
                <w:color w:val="auto"/>
                <w:kern w:val="0"/>
                <w:sz w:val="24"/>
                <w:szCs w:val="24"/>
              </w:rPr>
              <w:t>数字化资源加工、数字资源开发利用、网络信息处理</w:t>
            </w:r>
            <w:r>
              <w:rPr>
                <w:rFonts w:hint="eastAsia" w:cs="Times New Roman" w:asciiTheme="minorEastAsia" w:hAnsiTheme="minorEastAsia"/>
                <w:color w:val="auto"/>
                <w:kern w:val="0"/>
                <w:sz w:val="24"/>
                <w:szCs w:val="24"/>
              </w:rPr>
              <w:t>(信息、数字、网络)等方面的指导、审核工作，承担高深的文献研究、</w:t>
            </w:r>
            <w:r>
              <w:rPr>
                <w:rFonts w:hint="eastAsia" w:cs="宋体" w:asciiTheme="minorEastAsia" w:hAnsiTheme="minorEastAsia"/>
                <w:color w:val="auto"/>
                <w:kern w:val="0"/>
                <w:sz w:val="24"/>
                <w:szCs w:val="24"/>
              </w:rPr>
              <w:t>数字资源库建设</w:t>
            </w:r>
            <w:r>
              <w:rPr>
                <w:rFonts w:hint="eastAsia" w:cs="Times New Roman" w:asciiTheme="minorEastAsia" w:hAnsiTheme="minorEastAsia"/>
                <w:color w:val="auto"/>
                <w:kern w:val="0"/>
                <w:sz w:val="24"/>
                <w:szCs w:val="24"/>
              </w:rPr>
              <w:t>等，工作成绩卓著；在获得副研究馆员资格以来主持制定过1项业务建设规划、业务工作条例，并取得良好的成效；</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5．从事图书情报资料工作自动化、网络建设、计算机系统开发等图书情报资料现代技术工作的人员，须负责盟市级以上图书馆或图书情报资料机构现代技术项目的规划、设计、开发、研制，担任过至少一个自治区级或二个盟市级项目的负责人，主持项目的立项论证、结构设计、软件编写、实施应用，并通过相应技术成果鉴定，独立撰写技术报告。</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（三）工作业绩与成果</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申报人须具备下列条件之两条，其中1、2、3、4条中必备一条，5、6、7条中必备一条：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1．获得自治区（省部）级二等奖1项或三等奖2项；</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2．主持完成1项自治区（省部）级以上本专业科研课题或作为主要参与者完成3项自治区（省部）级以上本专业科研课题；</w:t>
            </w:r>
          </w:p>
          <w:p>
            <w:pPr>
              <w:widowControl/>
              <w:spacing w:line="276" w:lineRule="auto"/>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 xml:space="preserve">     </w:t>
            </w:r>
            <w:r>
              <w:rPr>
                <w:rFonts w:hint="eastAsia" w:cs="宋体" w:asciiTheme="minorEastAsia" w:hAnsiTheme="minorEastAsia"/>
                <w:bCs/>
                <w:color w:val="auto"/>
                <w:kern w:val="0"/>
                <w:sz w:val="24"/>
                <w:szCs w:val="24"/>
              </w:rPr>
              <w:t xml:space="preserve"> 3.主持制定本专业的标准、规程，或独立解决专业建设工作中的重大疑难问题1项以上，并得到本行业省级以上行政主管部门鉴定认可；</w:t>
            </w:r>
          </w:p>
          <w:p>
            <w:pPr>
              <w:widowControl/>
              <w:spacing w:line="276" w:lineRule="auto"/>
              <w:jc w:val="left"/>
              <w:rPr>
                <w:rFonts w:cs="宋体" w:asciiTheme="minorEastAsia" w:hAnsiTheme="minorEastAsia"/>
                <w:color w:val="auto"/>
                <w:kern w:val="0"/>
                <w:sz w:val="24"/>
                <w:szCs w:val="24"/>
              </w:rPr>
            </w:pPr>
            <w:r>
              <w:rPr>
                <w:rFonts w:hint="eastAsia" w:cs="宋体" w:asciiTheme="minorEastAsia" w:hAnsiTheme="minorEastAsia"/>
                <w:bCs/>
                <w:color w:val="auto"/>
                <w:kern w:val="0"/>
                <w:sz w:val="24"/>
                <w:szCs w:val="24"/>
              </w:rPr>
              <w:t xml:space="preserve">      4.主持完成文献资源开发或图书馆网络化数字化建设等重大项目1项以上，经省级以上行政主管部门鉴定，其成果达到国内先进水平。</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5. 须独立或以第一作者身份在国内公开发行的省部级以上本专业学术期刊发表学术论文5篇，其中，必须有2篇在国内专业核心期刊上发表；</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6.独立出版本专业学术著（译）作1部；</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7.合作出版的本专业学术著（译）作、参考工具书、检索工具书、专业教材、古籍整理等2部，合作的著作须本人撰写3万字以上，译作须本人翻译8万字以上，参考工具书等须本人编写10万字以上。</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宋体" w:asciiTheme="minorEastAsia" w:hAnsiTheme="minorEastAsia"/>
                <w:color w:val="FF0000"/>
                <w:kern w:val="0"/>
                <w:sz w:val="24"/>
                <w:szCs w:val="24"/>
              </w:rPr>
              <w:t>第十一条</w:t>
            </w:r>
            <w:r>
              <w:rPr>
                <w:rFonts w:hint="eastAsia" w:cs="Times New Roman" w:asciiTheme="minorEastAsia" w:hAnsiTheme="minorEastAsia"/>
                <w:b/>
                <w:color w:val="FF0000"/>
                <w:kern w:val="0"/>
                <w:sz w:val="24"/>
                <w:szCs w:val="24"/>
              </w:rPr>
              <w:t xml:space="preserve"> </w:t>
            </w:r>
            <w:r>
              <w:rPr>
                <w:rFonts w:hint="eastAsia" w:cs="Times New Roman" w:asciiTheme="minorEastAsia" w:hAnsiTheme="minorEastAsia"/>
                <w:color w:val="FF0000"/>
                <w:kern w:val="0"/>
                <w:sz w:val="24"/>
                <w:szCs w:val="24"/>
              </w:rPr>
              <w:t xml:space="preserve"> 副研究馆员资格条件</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（一）专业理论水平</w:t>
            </w:r>
          </w:p>
          <w:p>
            <w:pPr>
              <w:widowControl/>
              <w:shd w:val="clear" w:color="auto" w:fill="FFFFFF"/>
              <w:spacing w:line="276" w:lineRule="auto"/>
              <w:ind w:firstLine="64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全面掌握图书资料专业的基础理论（图书馆学、文献学、目录学、网络信息技术等）、</w:t>
            </w:r>
            <w:r>
              <w:rPr>
                <w:rFonts w:hint="eastAsia" w:cs="宋体" w:asciiTheme="minorEastAsia" w:hAnsiTheme="minorEastAsia"/>
                <w:color w:val="FF0000"/>
                <w:kern w:val="0"/>
                <w:sz w:val="24"/>
                <w:szCs w:val="24"/>
              </w:rPr>
              <w:t>技术规范、专业技能和标准</w:t>
            </w:r>
            <w:r>
              <w:rPr>
                <w:rFonts w:hint="eastAsia" w:cs="宋体" w:asciiTheme="minorEastAsia" w:hAnsiTheme="minorEastAsia"/>
                <w:bCs/>
                <w:color w:val="FF0000"/>
                <w:kern w:val="0"/>
                <w:sz w:val="24"/>
                <w:szCs w:val="24"/>
              </w:rPr>
              <w:t>，</w:t>
            </w:r>
            <w:r>
              <w:rPr>
                <w:rFonts w:hint="eastAsia" w:cs="Times New Roman" w:asciiTheme="minorEastAsia" w:hAnsiTheme="minorEastAsia"/>
                <w:color w:val="FF0000"/>
                <w:kern w:val="0"/>
                <w:sz w:val="24"/>
                <w:szCs w:val="24"/>
              </w:rPr>
              <w:t>并在专业范围内的某一方面有专长或有较深的造诣，较好地掌握相关专业方面的理论与技术。掌握本专业国内外现状与发展动态，掌握国内外先进理论与技术方法，并能应用于工作之中。</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（二）工作能力</w:t>
            </w:r>
          </w:p>
          <w:p>
            <w:pPr>
              <w:widowControl/>
              <w:spacing w:line="276" w:lineRule="auto"/>
              <w:ind w:firstLine="480" w:firstLineChars="200"/>
              <w:jc w:val="left"/>
              <w:outlineLvl w:val="0"/>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 xml:space="preserve">申报人须具备下列条件之五条，其中1、2、3条为必备条件： </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1．具有承担省部级科研项目的能力，能够解决本专业重要理论或技术问题；</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2．具有组织藏书在 20万册以上的图书馆（或学术技术要求较高的文献研究部门）业务的能力，</w:t>
            </w:r>
            <w:r>
              <w:rPr>
                <w:rFonts w:hint="eastAsia" w:cs="宋体" w:asciiTheme="minorEastAsia" w:hAnsiTheme="minorEastAsia"/>
                <w:color w:val="FF0000"/>
                <w:kern w:val="0"/>
                <w:sz w:val="24"/>
                <w:szCs w:val="24"/>
              </w:rPr>
              <w:t>或具备实施构建数字图书馆服务的业务能力；</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3．具有指导馆员进行科研工作、</w:t>
            </w:r>
            <w:r>
              <w:rPr>
                <w:rFonts w:hint="eastAsia" w:cs="宋体" w:asciiTheme="minorEastAsia" w:hAnsiTheme="minorEastAsia"/>
                <w:bCs/>
                <w:color w:val="FF0000"/>
                <w:kern w:val="0"/>
                <w:sz w:val="24"/>
                <w:szCs w:val="24"/>
              </w:rPr>
              <w:t>开展</w:t>
            </w:r>
            <w:r>
              <w:rPr>
                <w:rFonts w:hint="eastAsia" w:cs="宋体" w:asciiTheme="minorEastAsia" w:hAnsiTheme="minorEastAsia"/>
                <w:color w:val="FF0000"/>
                <w:kern w:val="0"/>
                <w:sz w:val="24"/>
                <w:szCs w:val="24"/>
              </w:rPr>
              <w:t>数字图书馆服务的能力，</w:t>
            </w:r>
            <w:r>
              <w:rPr>
                <w:rFonts w:hint="eastAsia" w:cs="Times New Roman" w:asciiTheme="minorEastAsia" w:hAnsiTheme="minorEastAsia"/>
                <w:color w:val="FF0000"/>
                <w:kern w:val="0"/>
                <w:sz w:val="24"/>
                <w:szCs w:val="24"/>
              </w:rPr>
              <w:t>或讲授图书馆学专业课程两门</w:t>
            </w:r>
            <w:bookmarkStart w:id="0" w:name="_GoBack"/>
            <w:bookmarkEnd w:id="0"/>
            <w:r>
              <w:rPr>
                <w:rFonts w:hint="eastAsia" w:cs="Times New Roman" w:asciiTheme="minorEastAsia" w:hAnsiTheme="minorEastAsia"/>
                <w:color w:val="FF0000"/>
                <w:kern w:val="0"/>
                <w:sz w:val="24"/>
                <w:szCs w:val="24"/>
              </w:rPr>
              <w:t>以上，或举办图书馆学、情报学等方面最新成果学术报告的能力；</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4．主持或作为主要参加人完成过盟市级以上科研项目或攻关项目，并对项目的完成起到重要作用；</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5．主持并参加编写过盟市级以上图书馆事业建设规划、业务工作条例、业务工作规范等；</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6．多次参加省部级以上专业学术交流会，有自己的独到见解，得到同行专家的好评；或独立解决本专业工作中的关键性专业难题，得到同行专家的普遍肯定；</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7．主持并参加编写公开出版的书目资料、参考工具书、专业教材等，并经实践证明所完成的工作具有较高水平；或承担某一方面的情报分析，完成过高难度的参考咨询工作；</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8．担任</w:t>
            </w:r>
            <w:r>
              <w:rPr>
                <w:rFonts w:hint="eastAsia" w:cs="宋体" w:asciiTheme="minorEastAsia" w:hAnsiTheme="minorEastAsia"/>
                <w:bCs/>
                <w:color w:val="FF0000"/>
                <w:kern w:val="0"/>
                <w:sz w:val="24"/>
                <w:szCs w:val="24"/>
              </w:rPr>
              <w:t>中外文</w:t>
            </w:r>
            <w:r>
              <w:rPr>
                <w:rFonts w:hint="eastAsia" w:cs="Times New Roman" w:asciiTheme="minorEastAsia" w:hAnsiTheme="minorEastAsia"/>
                <w:color w:val="FF0000"/>
                <w:kern w:val="0"/>
                <w:sz w:val="24"/>
                <w:szCs w:val="24"/>
              </w:rPr>
              <w:t>书刊采访、分编、</w:t>
            </w:r>
            <w:r>
              <w:rPr>
                <w:rFonts w:hint="eastAsia" w:cs="宋体" w:asciiTheme="minorEastAsia" w:hAnsiTheme="minorEastAsia"/>
                <w:bCs/>
                <w:color w:val="FF0000"/>
                <w:kern w:val="0"/>
                <w:sz w:val="24"/>
                <w:szCs w:val="24"/>
              </w:rPr>
              <w:t>借阅、</w:t>
            </w:r>
            <w:r>
              <w:rPr>
                <w:rFonts w:hint="eastAsia" w:cs="Times New Roman" w:asciiTheme="minorEastAsia" w:hAnsiTheme="minorEastAsia"/>
                <w:color w:val="FF0000"/>
                <w:kern w:val="0"/>
                <w:sz w:val="24"/>
                <w:szCs w:val="24"/>
              </w:rPr>
              <w:t>文献研究、参考咨询、</w:t>
            </w:r>
            <w:r>
              <w:rPr>
                <w:rFonts w:hint="eastAsia" w:cs="宋体" w:asciiTheme="minorEastAsia" w:hAnsiTheme="minorEastAsia"/>
                <w:bCs/>
                <w:color w:val="FF0000"/>
                <w:kern w:val="0"/>
                <w:sz w:val="24"/>
                <w:szCs w:val="24"/>
              </w:rPr>
              <w:t>图书馆学研究与辅导、</w:t>
            </w:r>
            <w:r>
              <w:rPr>
                <w:rFonts w:hint="eastAsia" w:cs="Times New Roman" w:asciiTheme="minorEastAsia" w:hAnsiTheme="minorEastAsia"/>
                <w:color w:val="FF0000"/>
                <w:kern w:val="0"/>
                <w:sz w:val="24"/>
                <w:szCs w:val="24"/>
              </w:rPr>
              <w:t>编制书目索引、</w:t>
            </w:r>
            <w:r>
              <w:rPr>
                <w:rFonts w:hint="eastAsia" w:cs="宋体" w:asciiTheme="minorEastAsia" w:hAnsiTheme="minorEastAsia"/>
                <w:bCs/>
                <w:color w:val="FF0000"/>
                <w:kern w:val="0"/>
                <w:sz w:val="24"/>
                <w:szCs w:val="24"/>
              </w:rPr>
              <w:t>组织策划重大文化活动（讲座、展览等）、技术开发与服务</w:t>
            </w:r>
            <w:r>
              <w:rPr>
                <w:rFonts w:hint="eastAsia" w:cs="Times New Roman" w:asciiTheme="minorEastAsia" w:hAnsiTheme="minorEastAsia"/>
                <w:color w:val="FF0000"/>
                <w:kern w:val="0"/>
                <w:sz w:val="24"/>
                <w:szCs w:val="24"/>
              </w:rPr>
              <w:t>等方面的指导、审核工作，实践证明其水平较高；</w:t>
            </w:r>
            <w:r>
              <w:rPr>
                <w:rFonts w:hint="eastAsia" w:cs="宋体" w:asciiTheme="minorEastAsia" w:hAnsiTheme="minorEastAsia"/>
                <w:color w:val="FF0000"/>
                <w:kern w:val="0"/>
                <w:sz w:val="24"/>
                <w:szCs w:val="24"/>
              </w:rPr>
              <w:t>或主持图书馆数字资源建设或大型数据库、网络资源建设工作，或主要参与地区（单位）数字图书馆相关技术的应用和开发等现代化技术工作，为文献信息服务提供了较好的技术支撑；</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（三）工作业绩与成果</w:t>
            </w:r>
          </w:p>
          <w:p>
            <w:pPr>
              <w:widowControl/>
              <w:spacing w:line="276" w:lineRule="auto"/>
              <w:ind w:firstLine="480" w:firstLineChars="200"/>
              <w:jc w:val="left"/>
              <w:outlineLvl w:val="0"/>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 xml:space="preserve">申报人须具备下列条件之两条，其中1、2、3条中必备一条，4、5条中必备一条： </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1．主持1项或作为主要参加人完成2项本专业盟市级以上科研项目，并取得自治区科技成果三等奖1项或盟市科技成果一等奖1项或二、三等奖多项，或所完成项目经自治区科技主管部门组织的专家鉴定，认为达到区内领先水平，本人在项目排序中列为前三名；</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2．主持或作为主要参加人编写过盟市级以上业务工作条例、工作规范、业务建设规划等，并被采纳、实施，取得显著效果；</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3．承担高深的文献研究、</w:t>
            </w:r>
            <w:r>
              <w:rPr>
                <w:rFonts w:hint="eastAsia" w:cs="宋体" w:asciiTheme="minorEastAsia" w:hAnsiTheme="minorEastAsia"/>
                <w:color w:val="FF0000"/>
                <w:kern w:val="0"/>
                <w:sz w:val="24"/>
                <w:szCs w:val="24"/>
              </w:rPr>
              <w:t>网络资源建设</w:t>
            </w:r>
            <w:r>
              <w:rPr>
                <w:rFonts w:hint="eastAsia" w:cs="Times New Roman" w:asciiTheme="minorEastAsia" w:hAnsiTheme="minorEastAsia"/>
                <w:color w:val="FF0000"/>
                <w:kern w:val="0"/>
                <w:sz w:val="24"/>
                <w:szCs w:val="24"/>
              </w:rPr>
              <w:t>或本专业其他科研所取得的成果，经同行专家鉴定具有重大学术价值，在区内属领先水平；</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4．须独立或以第一作者身份在国内公开发行的省部级以上本专业学术期刊发表或在国际学术会议上宣读本专业较高水平专业论文3篇以上，旗县及以下地区工作的人员2篇以上；</w:t>
            </w:r>
          </w:p>
          <w:p>
            <w:pPr>
              <w:widowControl/>
              <w:spacing w:line="276" w:lineRule="auto"/>
              <w:ind w:firstLine="480" w:firstLineChars="200"/>
              <w:jc w:val="left"/>
              <w:rPr>
                <w:rFonts w:cs="宋体" w:asciiTheme="minorEastAsia" w:hAnsiTheme="minorEastAsia"/>
                <w:color w:val="FF0000"/>
                <w:kern w:val="0"/>
                <w:sz w:val="24"/>
                <w:szCs w:val="24"/>
              </w:rPr>
            </w:pPr>
            <w:r>
              <w:rPr>
                <w:rFonts w:hint="eastAsia" w:cs="Times New Roman" w:asciiTheme="minorEastAsia" w:hAnsiTheme="minorEastAsia"/>
                <w:color w:val="FF0000"/>
                <w:kern w:val="0"/>
                <w:sz w:val="24"/>
                <w:szCs w:val="24"/>
              </w:rPr>
              <w:t>5．作为主要执笔人，公开出版过本专业论（译）著。</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第十二条</w:t>
            </w:r>
            <w:r>
              <w:rPr>
                <w:rFonts w:hint="eastAsia" w:cs="Times New Roman" w:asciiTheme="minorEastAsia" w:hAnsiTheme="minorEastAsia"/>
                <w:color w:val="auto"/>
                <w:kern w:val="0"/>
                <w:sz w:val="24"/>
                <w:szCs w:val="24"/>
              </w:rPr>
              <w:t xml:space="preserve">  馆员资格条件</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（一）专业理论水平</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掌握图书资料专业的基础理论，并对相关专业的基本知识有一定的了解。了解本专业的发展动态，熟悉本专业的业务规范。</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（二）工作能力</w:t>
            </w:r>
          </w:p>
          <w:p>
            <w:pPr>
              <w:widowControl/>
              <w:spacing w:line="276" w:lineRule="auto"/>
              <w:ind w:firstLine="480" w:firstLineChars="200"/>
              <w:jc w:val="left"/>
              <w:outlineLvl w:val="0"/>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申报人须具备下列条件之三条，其中1、2条为必备条件：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1．有独立解决专业岗位相关业务问题的能力，能够指导、检查和审核助理馆员的业务工作；</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2．具备一定规模专业工作的组织和实施能力，如：参与制定本地区、本部门事业发展规划，或撰写专业工作计划、总结和报告；</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3．参加过盟市级以上科研项目的研制工作；或参加编写盟市级以上图书馆事业建设规划、业务工作条例、业务工作规范等；</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4．参加编写书目资料、参考工具书、专业教材等工作；</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5．担任情报分析，完成参考咨询工作；</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6．独立为高等院校本科生进行信息素养教育；</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（三）工作业绩与成果</w:t>
            </w:r>
          </w:p>
          <w:p>
            <w:pPr>
              <w:widowControl/>
              <w:spacing w:line="276" w:lineRule="auto"/>
              <w:ind w:firstLine="480" w:firstLineChars="200"/>
              <w:jc w:val="left"/>
              <w:outlineLvl w:val="0"/>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 xml:space="preserve">申报人须具备下列条件之两条，其中1、2、3、4条中必备一条，5、6条中必备一条：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1．参加过盟市级以上科研项目，并获得奖励（前三名）；</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2．本人论文参加过省部级以上专业学术交流会，或参加过盟市级以上图书馆业务竞赛并取得名次（第三名以上）；</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3．工作业绩突出，工作经验在盟市级以上业务工作会议上交流，被同行普遍认可，且本人被评为盟市级以上先进工作者一次以上；</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4．胜任采访选书、分类编目、主题标引、编写提要、</w:t>
            </w:r>
            <w:r>
              <w:rPr>
                <w:rFonts w:hint="eastAsia" w:cs="宋体" w:asciiTheme="minorEastAsia" w:hAnsiTheme="minorEastAsia"/>
                <w:color w:val="auto"/>
                <w:kern w:val="0"/>
                <w:sz w:val="24"/>
                <w:szCs w:val="24"/>
              </w:rPr>
              <w:t>数字图书馆建设</w:t>
            </w:r>
            <w:r>
              <w:rPr>
                <w:rFonts w:hint="eastAsia" w:cs="Times New Roman" w:asciiTheme="minorEastAsia" w:hAnsiTheme="minorEastAsia"/>
                <w:color w:val="auto"/>
                <w:kern w:val="0"/>
                <w:sz w:val="24"/>
                <w:szCs w:val="24"/>
              </w:rPr>
              <w:t>等业务基础工作，并作为单位骨干较好地完成重点课题咨询、数据库服务、书目索引编制、</w:t>
            </w:r>
            <w:r>
              <w:rPr>
                <w:rFonts w:hint="eastAsia" w:cs="宋体" w:asciiTheme="minorEastAsia" w:hAnsiTheme="minorEastAsia"/>
                <w:color w:val="auto"/>
                <w:kern w:val="0"/>
                <w:sz w:val="24"/>
                <w:szCs w:val="24"/>
              </w:rPr>
              <w:t>信息整合发布</w:t>
            </w:r>
            <w:r>
              <w:rPr>
                <w:rFonts w:hint="eastAsia" w:cs="Times New Roman" w:asciiTheme="minorEastAsia" w:hAnsiTheme="minorEastAsia"/>
                <w:color w:val="auto"/>
                <w:kern w:val="0"/>
                <w:sz w:val="24"/>
                <w:szCs w:val="24"/>
              </w:rPr>
              <w:t>等业务工作；</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5．须独立或以第一作者身份在国内公开发行的省部级以上本专业学术期刊发表，或在国</w:t>
            </w:r>
            <w:r>
              <w:rPr>
                <w:rFonts w:hint="eastAsia" w:cs="宋体" w:asciiTheme="minorEastAsia" w:hAnsiTheme="minorEastAsia"/>
                <w:bCs/>
                <w:color w:val="auto"/>
                <w:kern w:val="0"/>
                <w:sz w:val="24"/>
                <w:szCs w:val="24"/>
              </w:rPr>
              <w:t>内</w:t>
            </w:r>
            <w:r>
              <w:rPr>
                <w:rFonts w:hint="eastAsia" w:cs="Times New Roman" w:asciiTheme="minorEastAsia" w:hAnsiTheme="minorEastAsia"/>
                <w:color w:val="auto"/>
                <w:kern w:val="0"/>
                <w:sz w:val="24"/>
                <w:szCs w:val="24"/>
              </w:rPr>
              <w:t>学术会议上宣读本专业学术论文2篇以上（旗县及以下地区工作的人员1篇）；</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Times New Roman" w:asciiTheme="minorEastAsia" w:hAnsiTheme="minorEastAsia"/>
                <w:color w:val="auto"/>
                <w:kern w:val="0"/>
                <w:sz w:val="24"/>
                <w:szCs w:val="24"/>
              </w:rPr>
              <w:t>6．作为主要执笔人，公开出版过专业论（译）著。</w:t>
            </w:r>
          </w:p>
          <w:p>
            <w:pPr>
              <w:widowControl/>
              <w:spacing w:line="276" w:lineRule="auto"/>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 </w:t>
            </w:r>
          </w:p>
          <w:p>
            <w:pPr>
              <w:widowControl/>
              <w:spacing w:line="276" w:lineRule="auto"/>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第四章　附　则</w:t>
            </w:r>
          </w:p>
          <w:p>
            <w:pPr>
              <w:widowControl/>
              <w:spacing w:line="276" w:lineRule="auto"/>
              <w:jc w:val="center"/>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 </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第十三条</w:t>
            </w:r>
            <w:r>
              <w:rPr>
                <w:rFonts w:hint="eastAsia" w:cs="Times New Roman" w:asciiTheme="minorEastAsia" w:hAnsiTheme="minorEastAsia"/>
                <w:color w:val="auto"/>
                <w:kern w:val="0"/>
                <w:sz w:val="24"/>
                <w:szCs w:val="24"/>
              </w:rPr>
              <w:t xml:space="preserve"> 本评审条件规定的申报条件和能力业绩条件应同时具备，工作业绩成果和获奖均指申报人员取得现有专业技术资格以来的成果，且为等级内额定人员。</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第十四条</w:t>
            </w:r>
            <w:r>
              <w:rPr>
                <w:rFonts w:hint="eastAsia" w:cs="Times New Roman" w:asciiTheme="minorEastAsia" w:hAnsiTheme="minorEastAsia"/>
                <w:b/>
                <w:color w:val="auto"/>
                <w:kern w:val="0"/>
                <w:sz w:val="24"/>
                <w:szCs w:val="24"/>
              </w:rPr>
              <w:t xml:space="preserve"> </w:t>
            </w:r>
            <w:r>
              <w:rPr>
                <w:rFonts w:hint="eastAsia" w:cs="Times New Roman" w:asciiTheme="minorEastAsia" w:hAnsiTheme="minorEastAsia"/>
                <w:color w:val="auto"/>
                <w:kern w:val="0"/>
                <w:sz w:val="24"/>
                <w:szCs w:val="24"/>
              </w:rPr>
              <w:t>本评审条件中规定的学历、年限、数量、等级，凡冠有“以上”或“以下”者，均含本级。</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第十五条</w:t>
            </w:r>
            <w:r>
              <w:rPr>
                <w:rFonts w:hint="eastAsia" w:cs="Times New Roman" w:asciiTheme="minorEastAsia" w:hAnsiTheme="minorEastAsia"/>
                <w:color w:val="auto"/>
                <w:kern w:val="0"/>
                <w:sz w:val="24"/>
                <w:szCs w:val="24"/>
              </w:rPr>
              <w:t xml:space="preserve"> </w:t>
            </w:r>
            <w:r>
              <w:rPr>
                <w:rFonts w:hint="eastAsia" w:cs="仿宋" w:asciiTheme="minorEastAsia" w:hAnsiTheme="minorEastAsia"/>
                <w:color w:val="auto"/>
                <w:kern w:val="0"/>
                <w:sz w:val="24"/>
                <w:szCs w:val="24"/>
              </w:rPr>
              <w:t>本评审条件中要求的学历（学位）均为本专业或相近专业学历（学位）。</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第十六条</w:t>
            </w:r>
            <w:r>
              <w:rPr>
                <w:rFonts w:hint="eastAsia" w:cs="Times New Roman" w:asciiTheme="minorEastAsia" w:hAnsiTheme="minorEastAsia"/>
                <w:b/>
                <w:color w:val="auto"/>
                <w:kern w:val="0"/>
                <w:sz w:val="24"/>
                <w:szCs w:val="24"/>
              </w:rPr>
              <w:t xml:space="preserve"> </w:t>
            </w:r>
            <w:r>
              <w:rPr>
                <w:rFonts w:hint="eastAsia" w:cs="Times New Roman" w:asciiTheme="minorEastAsia" w:hAnsiTheme="minorEastAsia"/>
                <w:color w:val="auto"/>
                <w:kern w:val="0"/>
                <w:sz w:val="24"/>
                <w:szCs w:val="24"/>
              </w:rPr>
              <w:t>专著、译著是指取得ISBN统一书号，公开出版发行的专业学术专著或译著。专业刊物是指取得ISSN（国际标准刊号）或CN(国内统一刊号)的专业学术技术期刊。核心期刊是指收录在《中文核心期刊要目总揽》（北京大学出版社）、《中国科学引文数据库》（CSCD）、《人文社会科学引文索引》（CSSCI）中所列核心期刊或SCI收录、EI收录的论文。</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第十七条</w:t>
            </w:r>
            <w:r>
              <w:rPr>
                <w:rFonts w:hint="eastAsia" w:cs="Times New Roman" w:asciiTheme="minorEastAsia" w:hAnsiTheme="minorEastAsia"/>
                <w:color w:val="auto"/>
                <w:kern w:val="0"/>
                <w:sz w:val="24"/>
                <w:szCs w:val="24"/>
              </w:rPr>
              <w:t xml:space="preserve"> 申报人除须符合本评审条件所明确的要求外，还须符合自治区当年职称工作安排的有关规定。针对本评审条件各条款另有规定的，从其规定。</w:t>
            </w:r>
          </w:p>
          <w:p>
            <w:pPr>
              <w:widowControl/>
              <w:spacing w:line="276" w:lineRule="auto"/>
              <w:ind w:firstLine="480" w:firstLineChars="200"/>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第十八条</w:t>
            </w:r>
            <w:r>
              <w:rPr>
                <w:rFonts w:hint="eastAsia" w:cs="Times New Roman" w:asciiTheme="minorEastAsia" w:hAnsiTheme="minorEastAsia"/>
                <w:color w:val="auto"/>
                <w:kern w:val="0"/>
                <w:sz w:val="24"/>
                <w:szCs w:val="24"/>
              </w:rPr>
              <w:t xml:space="preserve"> 本评审条件由自治区人力资源和社会保障厅、文化厅负责解释。</w:t>
            </w:r>
          </w:p>
          <w:p>
            <w:pPr>
              <w:widowControl/>
              <w:spacing w:line="276" w:lineRule="auto"/>
              <w:ind w:firstLine="470" w:firstLineChars="196"/>
              <w:jc w:val="left"/>
              <w:rPr>
                <w:rFonts w:cs="宋体" w:asciiTheme="minorEastAsia" w:hAnsiTheme="minorEastAsia"/>
                <w:color w:val="auto"/>
                <w:kern w:val="0"/>
                <w:sz w:val="24"/>
                <w:szCs w:val="24"/>
              </w:rPr>
            </w:pPr>
            <w:r>
              <w:rPr>
                <w:rFonts w:hint="eastAsia" w:cs="宋体" w:asciiTheme="minorEastAsia" w:hAnsiTheme="minorEastAsia"/>
                <w:color w:val="auto"/>
                <w:kern w:val="0"/>
                <w:sz w:val="24"/>
                <w:szCs w:val="24"/>
              </w:rPr>
              <w:t>第十九条</w:t>
            </w:r>
            <w:r>
              <w:rPr>
                <w:rFonts w:hint="eastAsia" w:cs="Times New Roman" w:asciiTheme="minorEastAsia" w:hAnsiTheme="minorEastAsia"/>
                <w:color w:val="auto"/>
                <w:kern w:val="0"/>
                <w:sz w:val="24"/>
                <w:szCs w:val="24"/>
              </w:rPr>
              <w:t xml:space="preserve"> 本评审条件自2017年1月1日起施行，同时废止《</w:t>
            </w:r>
            <w:r>
              <w:rPr>
                <w:rFonts w:hint="eastAsia" w:cs="Times New Roman" w:asciiTheme="minorEastAsia" w:hAnsiTheme="minorEastAsia"/>
                <w:bCs/>
                <w:color w:val="auto"/>
                <w:kern w:val="0"/>
                <w:sz w:val="24"/>
                <w:szCs w:val="24"/>
              </w:rPr>
              <w:t>关于修订自治区部分学科（专业）高中级专业技术资格评审条件的通知》</w:t>
            </w:r>
            <w:r>
              <w:rPr>
                <w:rFonts w:hint="eastAsia" w:cs="Times New Roman" w:asciiTheme="minorEastAsia" w:hAnsiTheme="minorEastAsia"/>
                <w:color w:val="auto"/>
                <w:kern w:val="0"/>
                <w:sz w:val="24"/>
                <w:szCs w:val="24"/>
              </w:rPr>
              <w:t>（内人职字〔1999〕第1号）和《关于印发&lt;内蒙古自治区图书资料专业研究馆员资格评审（试行）条件&gt;的通知》（内人发〔2010〕84号）。</w:t>
            </w:r>
          </w:p>
          <w:p>
            <w:pPr>
              <w:widowControl/>
              <w:spacing w:line="276" w:lineRule="auto"/>
              <w:jc w:val="left"/>
              <w:rPr>
                <w:rFonts w:cs="宋体" w:asciiTheme="minorEastAsia" w:hAnsiTheme="minorEastAsia"/>
                <w:color w:val="auto"/>
                <w:kern w:val="0"/>
                <w:sz w:val="24"/>
                <w:szCs w:val="24"/>
              </w:rPr>
            </w:pPr>
          </w:p>
        </w:tc>
      </w:tr>
    </w:tbl>
    <w:p>
      <w:pPr>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YwNWUxYTc2ZTI2YjU4ZGZlYWVkNGUzNWEwYWIzODEifQ=="/>
  </w:docVars>
  <w:rsids>
    <w:rsidRoot w:val="00F531D7"/>
    <w:rsid w:val="00254D5C"/>
    <w:rsid w:val="00497D94"/>
    <w:rsid w:val="006102DA"/>
    <w:rsid w:val="00650983"/>
    <w:rsid w:val="007D6D0C"/>
    <w:rsid w:val="007E27F3"/>
    <w:rsid w:val="00926FC5"/>
    <w:rsid w:val="00C25A86"/>
    <w:rsid w:val="00F531D7"/>
    <w:rsid w:val="00F870AB"/>
    <w:rsid w:val="14857985"/>
    <w:rsid w:val="49A73232"/>
    <w:rsid w:val="49E45462"/>
    <w:rsid w:val="61663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6</Pages>
  <Words>4426</Words>
  <Characters>4488</Characters>
  <Lines>34</Lines>
  <Paragraphs>9</Paragraphs>
  <TotalTime>8</TotalTime>
  <ScaleCrop>false</ScaleCrop>
  <LinksUpToDate>false</LinksUpToDate>
  <CharactersWithSpaces>4761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2016-06-14T01:45:00Z</dcterms:created>
  <dc:creator>User</dc:creator>
  <cp:lastModifiedBy>꧁༺馨儿༻꧂จุ๊บ</cp:lastModifiedBy>
  <dcterms:modified xsi:type="dcterms:W3CDTF">2023-05-11T02:12:02Z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71816B22774F49979C18B59997879B12_12</vt:lpwstr>
  </property>
</Properties>
</file>